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34" w:rsidRPr="00B63818" w:rsidRDefault="00075534" w:rsidP="00075534">
      <w:pPr>
        <w:ind w:firstLine="720"/>
      </w:pPr>
      <w:r w:rsidRPr="00B63818">
        <w:t>УДК 621.396.621</w:t>
      </w:r>
    </w:p>
    <w:p w:rsidR="00075534" w:rsidRPr="00B63818" w:rsidRDefault="00075534" w:rsidP="00075534">
      <w:pPr>
        <w:jc w:val="center"/>
      </w:pPr>
    </w:p>
    <w:p w:rsidR="00075534" w:rsidRPr="00BA4552" w:rsidRDefault="00075534" w:rsidP="00075534">
      <w:pPr>
        <w:ind w:firstLine="0"/>
        <w:jc w:val="center"/>
        <w:rPr>
          <w:b/>
          <w:highlight w:val="yellow"/>
        </w:rPr>
      </w:pPr>
      <w:r w:rsidRPr="00BA4552">
        <w:rPr>
          <w:b/>
        </w:rPr>
        <w:t>Разработка методов уменьшения влияния многолучевого распространения сигнала на аппаратуру ГНСС с применением нейронных сетей</w:t>
      </w:r>
    </w:p>
    <w:p w:rsidR="00075534" w:rsidRPr="005A2A8B" w:rsidRDefault="00075534" w:rsidP="00075534">
      <w:pPr>
        <w:jc w:val="center"/>
        <w:rPr>
          <w:i/>
          <w:highlight w:val="yellow"/>
        </w:rPr>
      </w:pPr>
    </w:p>
    <w:p w:rsidR="00075534" w:rsidRPr="00BA4552" w:rsidRDefault="00075534" w:rsidP="00075534">
      <w:pPr>
        <w:jc w:val="center"/>
        <w:rPr>
          <w:b/>
        </w:rPr>
      </w:pPr>
      <w:r w:rsidRPr="00BA4552">
        <w:rPr>
          <w:b/>
        </w:rPr>
        <w:t>М.Ю. Клименко</w:t>
      </w:r>
      <w:r w:rsidRPr="00BA4552">
        <w:rPr>
          <w:b/>
          <w:vertAlign w:val="superscript"/>
        </w:rPr>
        <w:t>1</w:t>
      </w:r>
    </w:p>
    <w:p w:rsidR="00075534" w:rsidRPr="00B63818" w:rsidRDefault="00075534" w:rsidP="00075534">
      <w:pPr>
        <w:jc w:val="center"/>
        <w:rPr>
          <w:i/>
        </w:rPr>
      </w:pPr>
      <w:r w:rsidRPr="00BA4552">
        <w:rPr>
          <w:i/>
          <w:vertAlign w:val="superscript"/>
        </w:rPr>
        <w:t>1</w:t>
      </w:r>
      <w:r w:rsidRPr="00B63818">
        <w:rPr>
          <w:i/>
        </w:rPr>
        <w:t>ЗАО НТЦ «Модуль», Россия, г. Москва, 4-я ул. 8 марта, д.3</w:t>
      </w:r>
    </w:p>
    <w:p w:rsidR="00075534" w:rsidRPr="00B63818" w:rsidRDefault="00075534" w:rsidP="00075534">
      <w:pPr>
        <w:jc w:val="center"/>
        <w:rPr>
          <w:i/>
          <w:lang w:val="en-US"/>
        </w:rPr>
      </w:pPr>
      <w:r w:rsidRPr="00BA4552">
        <w:rPr>
          <w:i/>
          <w:lang w:val="en-US"/>
        </w:rPr>
        <w:t>*</w:t>
      </w:r>
      <w:r w:rsidRPr="00B63818">
        <w:rPr>
          <w:i/>
          <w:lang w:val="en-US"/>
        </w:rPr>
        <w:t>e</w:t>
      </w:r>
      <w:r w:rsidRPr="00BA4552">
        <w:rPr>
          <w:i/>
          <w:lang w:val="en-US"/>
        </w:rPr>
        <w:t>-</w:t>
      </w:r>
      <w:r w:rsidRPr="00B63818">
        <w:rPr>
          <w:i/>
          <w:lang w:val="en-US"/>
        </w:rPr>
        <w:t>mail</w:t>
      </w:r>
      <w:r w:rsidRPr="00BA4552">
        <w:rPr>
          <w:i/>
          <w:lang w:val="en-US"/>
        </w:rPr>
        <w:t xml:space="preserve">: </w:t>
      </w:r>
      <w:hyperlink r:id="rId6" w:history="1">
        <w:r w:rsidRPr="00B63818">
          <w:rPr>
            <w:rStyle w:val="a4"/>
            <w:i/>
            <w:lang w:val="en-US"/>
          </w:rPr>
          <w:t>m.klimenko@module.ru</w:t>
        </w:r>
      </w:hyperlink>
    </w:p>
    <w:p w:rsidR="00075534" w:rsidRPr="00B63818" w:rsidRDefault="00075534" w:rsidP="00075534">
      <w:pPr>
        <w:rPr>
          <w:lang w:val="en-US"/>
        </w:rPr>
      </w:pPr>
    </w:p>
    <w:p w:rsidR="00075534" w:rsidRPr="00B63818" w:rsidRDefault="00075534" w:rsidP="00075534">
      <w:pPr>
        <w:pStyle w:val="1"/>
        <w:spacing w:before="0"/>
      </w:pPr>
      <w:r w:rsidRPr="00B63818">
        <w:t>Аннотация</w:t>
      </w:r>
    </w:p>
    <w:p w:rsidR="00075534" w:rsidRPr="00B63818" w:rsidRDefault="00075534" w:rsidP="00075534"/>
    <w:p w:rsidR="00075534" w:rsidRDefault="00075534" w:rsidP="00075534">
      <w:r w:rsidRPr="00B63818">
        <w:t>В статье рассматривается метод уменьшения влияния эффекта многолучевого распространения сигнала на навигационную аппаратуру потребителей</w:t>
      </w:r>
      <w:r>
        <w:t xml:space="preserve"> ГНСС</w:t>
      </w:r>
      <w:r w:rsidRPr="00C8695F">
        <w:t>, построенный на базе применения нейронных сетей. Приводится огибающая ошибки многолучёвости, полученная в результате теоретического моделирования.</w:t>
      </w:r>
      <w:r w:rsidRPr="00BA4552">
        <w:t xml:space="preserve"> </w:t>
      </w:r>
    </w:p>
    <w:p w:rsidR="00075534" w:rsidRPr="00BA4552" w:rsidRDefault="00075534" w:rsidP="00075534"/>
    <w:p w:rsidR="00075534" w:rsidRPr="00BA3894" w:rsidRDefault="00075534" w:rsidP="00075534">
      <w:pPr>
        <w:pStyle w:val="1"/>
        <w:spacing w:before="0"/>
        <w:rPr>
          <w:b w:val="0"/>
        </w:rPr>
      </w:pPr>
      <w:r>
        <w:t>Ключевые</w:t>
      </w:r>
      <w:r w:rsidRPr="00BA3894">
        <w:t xml:space="preserve"> </w:t>
      </w:r>
      <w:r>
        <w:t>слова</w:t>
      </w:r>
      <w:r w:rsidRPr="00BA3894">
        <w:t xml:space="preserve">: </w:t>
      </w:r>
      <w:r>
        <w:rPr>
          <w:b w:val="0"/>
        </w:rPr>
        <w:t>ГЛОНАСС</w:t>
      </w:r>
      <w:r w:rsidRPr="00BA3894">
        <w:rPr>
          <w:b w:val="0"/>
        </w:rPr>
        <w:t xml:space="preserve">, </w:t>
      </w:r>
      <w:r>
        <w:rPr>
          <w:b w:val="0"/>
        </w:rPr>
        <w:t>ГНСС</w:t>
      </w:r>
      <w:r w:rsidRPr="00BA3894">
        <w:rPr>
          <w:b w:val="0"/>
        </w:rPr>
        <w:t xml:space="preserve">, </w:t>
      </w:r>
      <w:r>
        <w:rPr>
          <w:b w:val="0"/>
        </w:rPr>
        <w:t>СБИС</w:t>
      </w:r>
      <w:r w:rsidRPr="00BA3894">
        <w:rPr>
          <w:b w:val="0"/>
        </w:rPr>
        <w:t xml:space="preserve"> </w:t>
      </w:r>
      <w:r>
        <w:rPr>
          <w:b w:val="0"/>
        </w:rPr>
        <w:t>К</w:t>
      </w:r>
      <w:r w:rsidRPr="00BA3894">
        <w:rPr>
          <w:b w:val="0"/>
        </w:rPr>
        <w:t>1888</w:t>
      </w:r>
      <w:r>
        <w:rPr>
          <w:b w:val="0"/>
        </w:rPr>
        <w:t>ВС</w:t>
      </w:r>
      <w:r w:rsidRPr="00BA3894">
        <w:rPr>
          <w:b w:val="0"/>
        </w:rPr>
        <w:t xml:space="preserve">018, </w:t>
      </w:r>
      <w:r>
        <w:rPr>
          <w:b w:val="0"/>
          <w:lang w:val="en-US"/>
        </w:rPr>
        <w:t>GPS</w:t>
      </w:r>
      <w:r w:rsidRPr="00BA3894">
        <w:rPr>
          <w:b w:val="0"/>
        </w:rPr>
        <w:t xml:space="preserve">, </w:t>
      </w:r>
      <w:r>
        <w:rPr>
          <w:b w:val="0"/>
        </w:rPr>
        <w:t>многолучёвость</w:t>
      </w:r>
    </w:p>
    <w:p w:rsidR="00075534" w:rsidRPr="00184589" w:rsidRDefault="00075534" w:rsidP="00075534">
      <w:pPr>
        <w:jc w:val="center"/>
        <w:rPr>
          <w:highlight w:val="yellow"/>
        </w:rPr>
      </w:pPr>
    </w:p>
    <w:p w:rsidR="00075534" w:rsidRPr="00BA4552" w:rsidRDefault="00075534" w:rsidP="00075534">
      <w:pPr>
        <w:jc w:val="center"/>
        <w:rPr>
          <w:b/>
          <w:highlight w:val="yellow"/>
          <w:lang w:val="en-US"/>
        </w:rPr>
      </w:pPr>
      <w:r w:rsidRPr="00BA4552">
        <w:rPr>
          <w:b/>
          <w:lang w:val="en-US"/>
        </w:rPr>
        <w:t>Development of the neural-network based multipath mitigation method for GNSS receivers</w:t>
      </w:r>
    </w:p>
    <w:p w:rsidR="00075534" w:rsidRPr="005A2A8B" w:rsidRDefault="00075534" w:rsidP="00075534">
      <w:pPr>
        <w:jc w:val="center"/>
        <w:rPr>
          <w:highlight w:val="yellow"/>
          <w:lang w:val="en-US"/>
        </w:rPr>
      </w:pPr>
    </w:p>
    <w:p w:rsidR="00075534" w:rsidRPr="00BA4552" w:rsidRDefault="00075534" w:rsidP="00075534">
      <w:pPr>
        <w:jc w:val="center"/>
        <w:rPr>
          <w:b/>
          <w:lang w:val="en-US"/>
        </w:rPr>
      </w:pPr>
      <w:r w:rsidRPr="00BA4552">
        <w:rPr>
          <w:b/>
          <w:lang w:val="en-US"/>
        </w:rPr>
        <w:t>Klimenko M. Yu.</w:t>
      </w:r>
      <w:r w:rsidRPr="00BA4552">
        <w:rPr>
          <w:b/>
          <w:vertAlign w:val="superscript"/>
          <w:lang w:val="en-US"/>
        </w:rPr>
        <w:t>1</w:t>
      </w:r>
    </w:p>
    <w:p w:rsidR="00075534" w:rsidRPr="00B63818" w:rsidRDefault="00075534" w:rsidP="00075534">
      <w:pPr>
        <w:jc w:val="center"/>
        <w:rPr>
          <w:i/>
          <w:lang w:val="en-US"/>
        </w:rPr>
      </w:pPr>
      <w:r w:rsidRPr="00BA4552">
        <w:rPr>
          <w:i/>
          <w:vertAlign w:val="superscript"/>
          <w:lang w:val="en-US"/>
        </w:rPr>
        <w:t>1</w:t>
      </w:r>
      <w:r w:rsidRPr="00B63818">
        <w:rPr>
          <w:i/>
          <w:lang w:val="en-US"/>
        </w:rPr>
        <w:t xml:space="preserve">RC Module, Russia, Moscow, 3 </w:t>
      </w:r>
      <w:proofErr w:type="gramStart"/>
      <w:r w:rsidRPr="00B63818">
        <w:rPr>
          <w:i/>
          <w:lang w:val="en-US"/>
        </w:rPr>
        <w:t>Eighth</w:t>
      </w:r>
      <w:proofErr w:type="gramEnd"/>
      <w:r w:rsidRPr="00B63818">
        <w:rPr>
          <w:i/>
          <w:lang w:val="en-US"/>
        </w:rPr>
        <w:t xml:space="preserve"> March 4</w:t>
      </w:r>
      <w:r w:rsidRPr="00B63818">
        <w:rPr>
          <w:i/>
          <w:vertAlign w:val="superscript"/>
          <w:lang w:val="en-US"/>
        </w:rPr>
        <w:t>th</w:t>
      </w:r>
      <w:r w:rsidRPr="00B63818">
        <w:rPr>
          <w:i/>
          <w:lang w:val="en-US"/>
        </w:rPr>
        <w:t xml:space="preserve"> Street</w:t>
      </w:r>
    </w:p>
    <w:p w:rsidR="00075534" w:rsidRPr="00B63818" w:rsidRDefault="00075534" w:rsidP="00075534">
      <w:pPr>
        <w:jc w:val="center"/>
        <w:rPr>
          <w:i/>
          <w:lang w:val="en-US"/>
        </w:rPr>
      </w:pPr>
      <w:r w:rsidRPr="00B63818">
        <w:rPr>
          <w:i/>
          <w:lang w:val="en-US"/>
        </w:rPr>
        <w:t xml:space="preserve">*e-mail: </w:t>
      </w:r>
      <w:hyperlink r:id="rId7" w:history="1">
        <w:r w:rsidRPr="00B63818">
          <w:rPr>
            <w:rStyle w:val="a4"/>
            <w:i/>
            <w:lang w:val="en-US"/>
          </w:rPr>
          <w:t>m.klimenko@module.ru</w:t>
        </w:r>
      </w:hyperlink>
    </w:p>
    <w:p w:rsidR="00075534" w:rsidRPr="00184589" w:rsidRDefault="00075534" w:rsidP="00075534">
      <w:pPr>
        <w:rPr>
          <w:lang w:val="en-US"/>
        </w:rPr>
      </w:pPr>
    </w:p>
    <w:p w:rsidR="00075534" w:rsidRPr="00C8695F" w:rsidRDefault="00075534" w:rsidP="00075534">
      <w:pPr>
        <w:pStyle w:val="1"/>
        <w:spacing w:before="0"/>
        <w:rPr>
          <w:lang w:val="en-US"/>
        </w:rPr>
      </w:pPr>
      <w:r w:rsidRPr="00C8695F">
        <w:rPr>
          <w:lang w:val="en-US"/>
        </w:rPr>
        <w:t>Abstract</w:t>
      </w:r>
    </w:p>
    <w:p w:rsidR="00075534" w:rsidRPr="00C8695F" w:rsidRDefault="00075534" w:rsidP="00075534">
      <w:pPr>
        <w:rPr>
          <w:lang w:val="en-US"/>
        </w:rPr>
      </w:pPr>
    </w:p>
    <w:p w:rsidR="00075534" w:rsidRPr="00E116F0" w:rsidRDefault="00075534" w:rsidP="00075534">
      <w:pPr>
        <w:rPr>
          <w:lang w:val="en-US"/>
        </w:rPr>
      </w:pPr>
      <w:r w:rsidRPr="00C8695F">
        <w:rPr>
          <w:lang w:val="en-US"/>
        </w:rPr>
        <w:t xml:space="preserve">This article describes the novel neural-network based multipath mitigation method. Theoretical </w:t>
      </w:r>
      <w:proofErr w:type="spellStart"/>
      <w:r w:rsidRPr="00C8695F">
        <w:rPr>
          <w:lang w:val="en-US"/>
        </w:rPr>
        <w:t>pseudorange</w:t>
      </w:r>
      <w:proofErr w:type="spellEnd"/>
      <w:r w:rsidRPr="00C8695F">
        <w:rPr>
          <w:lang w:val="en-US"/>
        </w:rPr>
        <w:t xml:space="preserve"> multipath error envelope for the case of infinite signal bandwidth </w:t>
      </w:r>
      <w:proofErr w:type="gramStart"/>
      <w:r w:rsidRPr="00C8695F">
        <w:rPr>
          <w:lang w:val="en-US"/>
        </w:rPr>
        <w:t>is provided</w:t>
      </w:r>
      <w:proofErr w:type="gramEnd"/>
      <w:r w:rsidRPr="00C8695F">
        <w:rPr>
          <w:lang w:val="en-US"/>
        </w:rPr>
        <w:t>.</w:t>
      </w:r>
    </w:p>
    <w:p w:rsidR="00075534" w:rsidRPr="00C64F96" w:rsidRDefault="00075534" w:rsidP="00075534">
      <w:pPr>
        <w:rPr>
          <w:lang w:val="en-US"/>
        </w:rPr>
      </w:pPr>
    </w:p>
    <w:p w:rsidR="00075534" w:rsidRPr="00821259" w:rsidRDefault="00075534" w:rsidP="00075534">
      <w:pPr>
        <w:pStyle w:val="1"/>
        <w:spacing w:before="0"/>
        <w:rPr>
          <w:b w:val="0"/>
          <w:lang w:val="en-US"/>
        </w:rPr>
      </w:pPr>
      <w:r>
        <w:rPr>
          <w:lang w:val="en-US"/>
        </w:rPr>
        <w:t>Keywords</w:t>
      </w:r>
      <w:r w:rsidRPr="00821259">
        <w:rPr>
          <w:lang w:val="en-US"/>
        </w:rPr>
        <w:t xml:space="preserve">: </w:t>
      </w:r>
      <w:r>
        <w:rPr>
          <w:b w:val="0"/>
          <w:lang w:val="en-US"/>
        </w:rPr>
        <w:t>GLONASS</w:t>
      </w:r>
      <w:r w:rsidRPr="00821259">
        <w:rPr>
          <w:b w:val="0"/>
          <w:lang w:val="en-US"/>
        </w:rPr>
        <w:t xml:space="preserve">, </w:t>
      </w:r>
      <w:r>
        <w:rPr>
          <w:b w:val="0"/>
          <w:lang w:val="en-US"/>
        </w:rPr>
        <w:t>GNSS</w:t>
      </w:r>
      <w:r w:rsidRPr="00821259">
        <w:rPr>
          <w:b w:val="0"/>
          <w:lang w:val="en-US"/>
        </w:rPr>
        <w:t>,</w:t>
      </w:r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SoC</w:t>
      </w:r>
      <w:proofErr w:type="spellEnd"/>
      <w:r>
        <w:rPr>
          <w:b w:val="0"/>
          <w:lang w:val="en-US"/>
        </w:rPr>
        <w:t xml:space="preserve"> BBP2,</w:t>
      </w:r>
      <w:r w:rsidRPr="00821259">
        <w:rPr>
          <w:b w:val="0"/>
          <w:lang w:val="en-US"/>
        </w:rPr>
        <w:t xml:space="preserve"> </w:t>
      </w:r>
      <w:r>
        <w:rPr>
          <w:b w:val="0"/>
          <w:lang w:val="en-US"/>
        </w:rPr>
        <w:t>GPS</w:t>
      </w:r>
      <w:r w:rsidRPr="00821259">
        <w:rPr>
          <w:b w:val="0"/>
          <w:lang w:val="en-US"/>
        </w:rPr>
        <w:t xml:space="preserve">, </w:t>
      </w:r>
      <w:r>
        <w:rPr>
          <w:b w:val="0"/>
          <w:lang w:val="en-US"/>
        </w:rPr>
        <w:t>multipath</w:t>
      </w:r>
    </w:p>
    <w:p w:rsidR="00821259" w:rsidRPr="00821259" w:rsidRDefault="00821259" w:rsidP="0097381A">
      <w:pPr>
        <w:rPr>
          <w:lang w:val="en-US"/>
        </w:rPr>
      </w:pPr>
    </w:p>
    <w:p w:rsidR="00F663F1" w:rsidRPr="00FC622C" w:rsidRDefault="00F663F1" w:rsidP="0097381A">
      <w:pPr>
        <w:pStyle w:val="1"/>
        <w:spacing w:before="0"/>
      </w:pPr>
      <w:r w:rsidRPr="00FC622C">
        <w:t>Введение</w:t>
      </w:r>
    </w:p>
    <w:p w:rsidR="00F663F1" w:rsidRPr="00FC622C" w:rsidRDefault="00F663F1" w:rsidP="0097381A"/>
    <w:p w:rsidR="00161CB8" w:rsidRDefault="00AF7417" w:rsidP="0097381A">
      <w:r>
        <w:t>Навигационная аппаратура потребителей глобальных навигационных спутниковых систем (ГНСС) позволяет пользователям определять местоположение, скорость и текущее время путём обработки сигналов, излучаемых навигационными космическими аппаратами. На точность навигационно-временных решений оказывает влияние множество факторов</w:t>
      </w:r>
      <w:r w:rsidRPr="00AF7417">
        <w:t xml:space="preserve">, </w:t>
      </w:r>
      <w:r>
        <w:t>такие как:</w:t>
      </w:r>
    </w:p>
    <w:p w:rsidR="00AF7417" w:rsidRDefault="00AF7417" w:rsidP="00AF7417">
      <w:pPr>
        <w:pStyle w:val="a7"/>
        <w:ind w:left="1069" w:firstLine="0"/>
      </w:pPr>
    </w:p>
    <w:p w:rsidR="00AF7417" w:rsidRDefault="00AF7417" w:rsidP="00AF7417">
      <w:pPr>
        <w:pStyle w:val="a7"/>
        <w:numPr>
          <w:ilvl w:val="0"/>
          <w:numId w:val="4"/>
        </w:numPr>
      </w:pPr>
      <w:r>
        <w:t>недостаточная точность эфемеридно-временной информации</w:t>
      </w:r>
      <w:r w:rsidR="00EC7F37">
        <w:t>;</w:t>
      </w:r>
    </w:p>
    <w:p w:rsidR="00AF7417" w:rsidRDefault="00AF7417" w:rsidP="00AF7417">
      <w:pPr>
        <w:pStyle w:val="a7"/>
        <w:numPr>
          <w:ilvl w:val="0"/>
          <w:numId w:val="4"/>
        </w:numPr>
      </w:pPr>
      <w:r>
        <w:t>тропосферная и ионосферная задержки сигнала;</w:t>
      </w:r>
    </w:p>
    <w:p w:rsidR="00AF7417" w:rsidRDefault="00AF7417" w:rsidP="00AF7417">
      <w:pPr>
        <w:pStyle w:val="a7"/>
        <w:numPr>
          <w:ilvl w:val="0"/>
          <w:numId w:val="4"/>
        </w:numPr>
      </w:pPr>
      <w:r>
        <w:t>многолучевое распространение сигнала;</w:t>
      </w:r>
    </w:p>
    <w:p w:rsidR="00AF7417" w:rsidRDefault="00AF7417" w:rsidP="00AF7417">
      <w:pPr>
        <w:pStyle w:val="a7"/>
        <w:numPr>
          <w:ilvl w:val="0"/>
          <w:numId w:val="4"/>
        </w:numPr>
      </w:pPr>
      <w:r>
        <w:t>ошибки</w:t>
      </w:r>
      <w:r>
        <w:rPr>
          <w:lang w:val="en-US"/>
        </w:rPr>
        <w:t xml:space="preserve"> </w:t>
      </w:r>
      <w:r>
        <w:t>навигационной аппаратуры потребителей.</w:t>
      </w:r>
    </w:p>
    <w:p w:rsidR="00AF7417" w:rsidRDefault="00AF7417" w:rsidP="00AF7417">
      <w:pPr>
        <w:rPr>
          <w:lang w:val="en-US"/>
        </w:rPr>
      </w:pPr>
    </w:p>
    <w:p w:rsidR="00AF7417" w:rsidRDefault="00AF7417" w:rsidP="00AF7417">
      <w:r>
        <w:t xml:space="preserve">Приведённые </w:t>
      </w:r>
      <w:r w:rsidR="005C50B0">
        <w:t xml:space="preserve">источники ошибок расположены по пути распространения сигнала от навигационного космического аппарата к приёмнику, каждый из пунктов рассмотрен более подробно в литературе </w:t>
      </w:r>
      <w:r w:rsidR="005C50B0" w:rsidRPr="005C50B0">
        <w:t>[</w:t>
      </w:r>
      <w:r w:rsidR="00BB418B" w:rsidRPr="00BB418B">
        <w:t>1</w:t>
      </w:r>
      <w:r w:rsidR="005C50B0" w:rsidRPr="005C50B0">
        <w:t>] [</w:t>
      </w:r>
      <w:r w:rsidR="00BB418B" w:rsidRPr="00BB418B">
        <w:t>2</w:t>
      </w:r>
      <w:r w:rsidR="005C50B0">
        <w:t>]. Подавляющее большинство ошибок может быть компенсировано с применением режима дифференциально-фазового режима позиционирования (</w:t>
      </w:r>
      <w:r w:rsidR="005C50B0" w:rsidRPr="005C50B0">
        <w:rPr>
          <w:i/>
          <w:lang w:val="en-US"/>
        </w:rPr>
        <w:t>real</w:t>
      </w:r>
      <w:r w:rsidR="005C50B0" w:rsidRPr="005C50B0">
        <w:rPr>
          <w:i/>
        </w:rPr>
        <w:t>-</w:t>
      </w:r>
      <w:r w:rsidR="005C50B0" w:rsidRPr="005C50B0">
        <w:rPr>
          <w:i/>
          <w:lang w:val="en-US"/>
        </w:rPr>
        <w:t>time</w:t>
      </w:r>
      <w:r w:rsidR="005C50B0" w:rsidRPr="005C50B0">
        <w:rPr>
          <w:i/>
        </w:rPr>
        <w:t xml:space="preserve"> </w:t>
      </w:r>
      <w:r w:rsidR="005C50B0" w:rsidRPr="005C50B0">
        <w:rPr>
          <w:i/>
          <w:lang w:val="en-US"/>
        </w:rPr>
        <w:t>kinematic</w:t>
      </w:r>
      <w:r w:rsidR="005C50B0" w:rsidRPr="005C50B0">
        <w:rPr>
          <w:i/>
        </w:rPr>
        <w:t xml:space="preserve">, </w:t>
      </w:r>
      <w:r w:rsidR="005C50B0" w:rsidRPr="005C50B0">
        <w:rPr>
          <w:i/>
          <w:lang w:val="en-US"/>
        </w:rPr>
        <w:t>RTK</w:t>
      </w:r>
      <w:r w:rsidR="005C50B0" w:rsidRPr="005C50B0">
        <w:t xml:space="preserve">). </w:t>
      </w:r>
      <w:r w:rsidR="00EC7F37">
        <w:t>В этом режиме осуществляется измерение базового вектора между двумя приёмниками: опорным (базовым), с известными координатами, и подвижным (</w:t>
      </w:r>
      <w:proofErr w:type="spellStart"/>
      <w:r w:rsidR="00EC7F37">
        <w:t>ровером</w:t>
      </w:r>
      <w:proofErr w:type="spellEnd"/>
      <w:r w:rsidR="00EC7F37">
        <w:t>).</w:t>
      </w:r>
      <w:r w:rsidR="00EC7F37" w:rsidRPr="00EC7F37">
        <w:t xml:space="preserve"> </w:t>
      </w:r>
      <w:r w:rsidR="00EC7F37">
        <w:t xml:space="preserve">Применение дифференциальных методов </w:t>
      </w:r>
      <w:proofErr w:type="spellStart"/>
      <w:r w:rsidR="00EC7F37">
        <w:t>местоопределения</w:t>
      </w:r>
      <w:proofErr w:type="spellEnd"/>
      <w:r w:rsidR="00EC7F37">
        <w:t xml:space="preserve"> позволяет исключить ошибки, общие для двух приёмников, что позволяет компенсировать недостаточную точность эфемерид и, на относительно малых базовых линиях, влияние тропосферы и ионосферы.</w:t>
      </w:r>
    </w:p>
    <w:p w:rsidR="00EC7F37" w:rsidRDefault="00EC7F37" w:rsidP="00AF7417"/>
    <w:p w:rsidR="00EC7F37" w:rsidRPr="00EC7F37" w:rsidRDefault="00EC7F37" w:rsidP="00EC7F37">
      <w:r>
        <w:t xml:space="preserve">При исключении прочих ошибок наибольшее влияние на точность позиционирования начинают оказывать ошибки, вызванные многолучевым распространением сигнала. Этой теме посвящено значительное количество отечественных и зарубежных работ </w:t>
      </w:r>
      <w:r w:rsidRPr="00EC7F37">
        <w:t>[</w:t>
      </w:r>
      <w:r w:rsidR="00BB418B" w:rsidRPr="00BB418B">
        <w:t>1</w:t>
      </w:r>
      <w:r w:rsidRPr="00EC7F37">
        <w:t>] [</w:t>
      </w:r>
      <w:r w:rsidR="00BB418B" w:rsidRPr="00BB418B">
        <w:t>2</w:t>
      </w:r>
      <w:r w:rsidRPr="00EC7F37">
        <w:t>] [</w:t>
      </w:r>
      <w:r w:rsidR="00BB418B" w:rsidRPr="00BB418B">
        <w:t>3</w:t>
      </w:r>
      <w:r w:rsidR="00BB418B">
        <w:t>]</w:t>
      </w:r>
      <w:r w:rsidRPr="00EC7F37">
        <w:t xml:space="preserve">, </w:t>
      </w:r>
      <w:r>
        <w:t xml:space="preserve">однако, </w:t>
      </w:r>
      <w:r w:rsidR="004B319A">
        <w:t>в связи с ограничениями большинства предложенных методов, до сих пор нет общепринятого решения.</w:t>
      </w:r>
    </w:p>
    <w:p w:rsidR="00AF7417" w:rsidRPr="00AF7417" w:rsidRDefault="00AF7417" w:rsidP="00AF7417"/>
    <w:p w:rsidR="00161CB8" w:rsidRDefault="00161CB8" w:rsidP="0097381A"/>
    <w:p w:rsidR="00CE6BE6" w:rsidRPr="004B319A" w:rsidRDefault="004B319A" w:rsidP="0097381A">
      <w:r>
        <w:t xml:space="preserve">В данной работе предлагается метод, основанный на применении нейронных сетей, осуществляющий оценку и компенсацию многолучевого распространения сигнала в приёмниках ГНСС. Описанный алгоритм обладает умеренной </w:t>
      </w:r>
      <w:r>
        <w:lastRenderedPageBreak/>
        <w:t xml:space="preserve">вычислительной сложностью и не требует специализированной аппаратуры, в связи с чем может быть использован в </w:t>
      </w:r>
      <w:proofErr w:type="spellStart"/>
      <w:r>
        <w:t>т.ч</w:t>
      </w:r>
      <w:proofErr w:type="spellEnd"/>
      <w:r>
        <w:t>. и в существующих высокоточных навигационных приёмниках путём модификации встрое</w:t>
      </w:r>
      <w:r w:rsidR="00133465">
        <w:t>нного программного обеспечения</w:t>
      </w:r>
      <w:r w:rsidRPr="004B319A">
        <w:t>.</w:t>
      </w:r>
    </w:p>
    <w:p w:rsidR="00F663F1" w:rsidRPr="00FC622C" w:rsidRDefault="00F663F1" w:rsidP="0097381A"/>
    <w:p w:rsidR="009A41F7" w:rsidRPr="00FC622C" w:rsidRDefault="00F55FED" w:rsidP="0097381A">
      <w:pPr>
        <w:pStyle w:val="1"/>
        <w:spacing w:before="0"/>
      </w:pPr>
      <w:r>
        <w:t>Описание явления многолучёвости</w:t>
      </w:r>
    </w:p>
    <w:p w:rsidR="00F663F1" w:rsidRPr="00FC622C" w:rsidRDefault="00F663F1" w:rsidP="0097381A"/>
    <w:p w:rsidR="001622D5" w:rsidRPr="001622D5" w:rsidRDefault="001622D5" w:rsidP="0097381A">
      <w:r>
        <w:t>Явление многолучевого распространения сигнала заключается в приёме помимо сигнала «прямой видимости», т.е. распространяющегося вдол</w:t>
      </w:r>
      <w:r w:rsidR="00BB418B">
        <w:t>ь воображаемой линии, соединяюще</w:t>
      </w:r>
      <w:r>
        <w:t xml:space="preserve">й фазовые центры антенн спутника и приёмника, копий сигнала, отражённых от окружающих объектов. Простейшая иллюстрация этого явления приведена </w:t>
      </w:r>
      <w:r w:rsidRPr="00FC622C">
        <w:t xml:space="preserve">на рисунке </w:t>
      </w:r>
      <w:r w:rsidRPr="00FC622C">
        <w:fldChar w:fldCharType="begin"/>
      </w:r>
      <w:r w:rsidRPr="00FC622C">
        <w:instrText xml:space="preserve"> REF _Ref499830112 \h  \* MERGEFORMAT </w:instrText>
      </w:r>
      <w:r w:rsidRPr="00FC622C">
        <w:fldChar w:fldCharType="separate"/>
      </w:r>
      <w:r w:rsidRPr="00431B1A">
        <w:rPr>
          <w:vanish/>
        </w:rPr>
        <w:t xml:space="preserve">Рисунок </w:t>
      </w:r>
      <w:r>
        <w:t>1</w:t>
      </w:r>
      <w:r w:rsidRPr="00FC622C">
        <w:fldChar w:fldCharType="end"/>
      </w:r>
      <w:r>
        <w:t xml:space="preserve">, где сплошной линией </w:t>
      </w:r>
      <w:r w:rsidR="00BB418B">
        <w:t>показан</w:t>
      </w:r>
      <w:r>
        <w:t xml:space="preserve"> «прямой» сигнал, пунктирной — отражённый от дома</w:t>
      </w:r>
      <w:r w:rsidRPr="00FC622C">
        <w:t>.</w:t>
      </w:r>
    </w:p>
    <w:p w:rsidR="00F663F1" w:rsidRPr="00FC622C" w:rsidRDefault="00F663F1" w:rsidP="0097381A"/>
    <w:p w:rsidR="00E41802" w:rsidRPr="00FC622C" w:rsidRDefault="00133465" w:rsidP="00FF5062">
      <w:pPr>
        <w:ind w:firstLine="0"/>
        <w:jc w:val="center"/>
      </w:pPr>
      <w:r>
        <w:object w:dxaOrig="3870" w:dyaOrig="4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232.5pt" o:ole="">
            <v:imagedata r:id="rId8" o:title=""/>
          </v:shape>
          <o:OLEObject Type="Embed" ProgID="Visio.Drawing.15" ShapeID="_x0000_i1025" DrawAspect="Content" ObjectID="_1660722332" r:id="rId9"/>
        </w:object>
      </w:r>
    </w:p>
    <w:p w:rsidR="00E41802" w:rsidRPr="00FC622C" w:rsidRDefault="00E41802" w:rsidP="0097381A">
      <w:pPr>
        <w:ind w:firstLine="0"/>
        <w:jc w:val="center"/>
      </w:pPr>
      <w:bookmarkStart w:id="0" w:name="_Ref499830112"/>
      <w:r w:rsidRPr="00FC622C">
        <w:t xml:space="preserve">Рисунок </w:t>
      </w:r>
      <w:r w:rsidR="0005690F">
        <w:fldChar w:fldCharType="begin"/>
      </w:r>
      <w:r w:rsidR="0005690F">
        <w:instrText xml:space="preserve"> SEQ Рисунок \* ARABIC </w:instrText>
      </w:r>
      <w:r w:rsidR="0005690F">
        <w:fldChar w:fldCharType="separate"/>
      </w:r>
      <w:r w:rsidR="00431B1A">
        <w:rPr>
          <w:noProof/>
        </w:rPr>
        <w:t>1</w:t>
      </w:r>
      <w:r w:rsidR="0005690F">
        <w:rPr>
          <w:noProof/>
        </w:rPr>
        <w:fldChar w:fldCharType="end"/>
      </w:r>
      <w:bookmarkEnd w:id="0"/>
      <w:r w:rsidRPr="00FC622C">
        <w:t xml:space="preserve"> — </w:t>
      </w:r>
      <w:r w:rsidR="00241B79">
        <w:t>Иллюстрация явления многолучевого распространения сигнала</w:t>
      </w:r>
    </w:p>
    <w:p w:rsidR="00F663F1" w:rsidRPr="00FC622C" w:rsidRDefault="00F663F1" w:rsidP="0097381A"/>
    <w:p w:rsidR="00F663F1" w:rsidRDefault="00241B79" w:rsidP="0097381A">
      <w:r>
        <w:t>Для данного случая может быть сформулирована математическая модель явления многолучевости:</w:t>
      </w:r>
    </w:p>
    <w:p w:rsidR="00241B79" w:rsidRDefault="00241B79" w:rsidP="0097381A"/>
    <w:p w:rsidR="00241B79" w:rsidRPr="00241B79" w:rsidRDefault="00BB418B" w:rsidP="0097381A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s(t-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)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j2π(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sup>
              </m:sSup>
            </m:e>
          </m:nary>
        </m:oMath>
      </m:oMathPara>
    </w:p>
    <w:p w:rsidR="00F55FED" w:rsidRDefault="00F55FED" w:rsidP="0097381A"/>
    <w:p w:rsidR="00241B79" w:rsidRPr="00F55FED" w:rsidRDefault="00F55FED" w:rsidP="0097381A">
      <w:r>
        <w:t xml:space="preserve">В рамках данной модели комбинационный сигнал, вызванный многолучевым распространением представляет собой сумму сигналов, представляющих собой копии сигнала прямой видимости с амплитудой </w:t>
      </w:r>
      <w:r w:rsidRPr="00F55FED">
        <w:t>α</w:t>
      </w:r>
      <w:r>
        <w:t xml:space="preserve">, задержкой </w:t>
      </w:r>
      <w:proofErr w:type="spellStart"/>
      <w:r>
        <w:t>τ</w:t>
      </w:r>
      <w:r w:rsidRPr="00F55FED">
        <w:rPr>
          <w:vertAlign w:val="subscript"/>
        </w:rPr>
        <w:t>i</w:t>
      </w:r>
      <w:proofErr w:type="spellEnd"/>
      <w:r>
        <w:t xml:space="preserve">, частотой </w:t>
      </w:r>
      <w:r>
        <w:rPr>
          <w:lang w:val="en-US"/>
        </w:rPr>
        <w:t>f</w:t>
      </w:r>
      <w:r w:rsidRPr="00F55FED">
        <w:rPr>
          <w:vertAlign w:val="subscript"/>
        </w:rPr>
        <w:t>i</w:t>
      </w:r>
      <w:r>
        <w:t xml:space="preserve"> и фазой </w:t>
      </w:r>
      <w:proofErr w:type="spellStart"/>
      <w:r>
        <w:t>φ</w:t>
      </w:r>
      <w:r w:rsidRPr="00F55FED">
        <w:rPr>
          <w:vertAlign w:val="subscript"/>
        </w:rPr>
        <w:t>i</w:t>
      </w:r>
      <w:proofErr w:type="spellEnd"/>
      <w:r>
        <w:t>. На данном этапе предполагается, что «прямой» сигнал превышает отражённые по амплитуде, т.е. не рассматриваются случаи затенения.</w:t>
      </w:r>
    </w:p>
    <w:p w:rsidR="00241B79" w:rsidRPr="00FC622C" w:rsidRDefault="00241B79" w:rsidP="0097381A"/>
    <w:p w:rsidR="00957DA8" w:rsidRPr="008159DC" w:rsidRDefault="00F55FED" w:rsidP="0097381A">
      <w:pPr>
        <w:pStyle w:val="1"/>
        <w:spacing w:before="0"/>
      </w:pPr>
      <w:r>
        <w:t>Влияние многолучевого распространения сигнала</w:t>
      </w:r>
    </w:p>
    <w:p w:rsidR="00F663F1" w:rsidRPr="00FC622C" w:rsidRDefault="00F663F1" w:rsidP="0097381A"/>
    <w:p w:rsidR="008159DC" w:rsidRPr="008159DC" w:rsidRDefault="008159DC" w:rsidP="0097381A">
      <w:r>
        <w:t>Наличие множества сигналов на входе</w:t>
      </w:r>
      <w:r w:rsidR="00BB418B">
        <w:t xml:space="preserve"> блока</w:t>
      </w:r>
      <w:r>
        <w:t xml:space="preserve"> корреляционной обработки приводит к искажению корреляционного пика и ошибкам в подсистеме слежения за фазой кодовой последовательности (система слежения за задержкой, ССЗ) и подсистеме слежения за фазой несущего колебания (система фазовой автоподстройки, ФАП). Упрощённый пример искажения корреляционного пика приведён </w:t>
      </w:r>
      <w:r w:rsidRPr="00FC622C">
        <w:t xml:space="preserve">на рисунке </w:t>
      </w:r>
      <w:r w:rsidRPr="00FC622C">
        <w:fldChar w:fldCharType="begin"/>
      </w:r>
      <w:r w:rsidRPr="00FC622C">
        <w:instrText xml:space="preserve"> REF _Ref521161653 \h  \* MERGEFORMAT </w:instrText>
      </w:r>
      <w:r w:rsidRPr="00FC622C">
        <w:fldChar w:fldCharType="separate"/>
      </w:r>
      <w:r w:rsidRPr="00431B1A">
        <w:rPr>
          <w:vanish/>
        </w:rPr>
        <w:t xml:space="preserve">Рисунок </w:t>
      </w:r>
      <w:r>
        <w:rPr>
          <w:noProof/>
        </w:rPr>
        <w:t>2</w:t>
      </w:r>
      <w:r w:rsidRPr="00FC622C">
        <w:fldChar w:fldCharType="end"/>
      </w:r>
      <w:r w:rsidRPr="00FC622C">
        <w:t>.</w:t>
      </w:r>
      <w:r>
        <w:t xml:space="preserve"> Для данного примера относительный уровень отражённого сигнала выбран равным 0,5 от уровня исходного сигнала, задержка — 0,5 элемента псевдослучайной последовательности (чипа), сдвиг фазы между исходным и отражённым кодом — 22,5 градуса. </w:t>
      </w:r>
      <w:r w:rsidR="00BC6391">
        <w:t>Сплошной линией приведён исходный корреляционный пик, пунктирной — модуль корреляционного пика при наличии многолучёвости.</w:t>
      </w:r>
    </w:p>
    <w:p w:rsidR="004E2AF1" w:rsidRPr="008159DC" w:rsidRDefault="008159DC" w:rsidP="0097381A">
      <w:pPr>
        <w:ind w:firstLine="0"/>
        <w:jc w:val="center"/>
        <w:rPr>
          <w:lang w:val="en-US"/>
        </w:rPr>
      </w:pPr>
      <w:r w:rsidRPr="008159DC">
        <w:rPr>
          <w:noProof/>
          <w:lang w:eastAsia="ru-RU"/>
        </w:rPr>
        <w:lastRenderedPageBreak/>
        <w:drawing>
          <wp:inline distT="0" distB="0" distL="0" distR="0">
            <wp:extent cx="5334000" cy="4000500"/>
            <wp:effectExtent l="0" t="0" r="0" b="0"/>
            <wp:docPr id="7" name="Рисунок 7" descr="D:\микроэлектроника2020\src\images\Корреляционный пик_без нормализа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икроэлектроника2020\src\images\Корреляционный пик_без нормализации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7F" w:rsidRPr="00FC622C" w:rsidRDefault="006F2C7F" w:rsidP="0097381A">
      <w:pPr>
        <w:ind w:firstLine="0"/>
        <w:jc w:val="center"/>
      </w:pPr>
      <w:bookmarkStart w:id="1" w:name="_Ref521161653"/>
      <w:r w:rsidRPr="00FC622C">
        <w:t xml:space="preserve">Рисунок </w:t>
      </w:r>
      <w:r w:rsidR="0005690F">
        <w:fldChar w:fldCharType="begin"/>
      </w:r>
      <w:r w:rsidR="0005690F">
        <w:instrText xml:space="preserve"> SEQ Рисунок \* ARABIC </w:instrText>
      </w:r>
      <w:r w:rsidR="0005690F">
        <w:fldChar w:fldCharType="separate"/>
      </w:r>
      <w:r w:rsidR="00431B1A">
        <w:rPr>
          <w:noProof/>
        </w:rPr>
        <w:t>2</w:t>
      </w:r>
      <w:r w:rsidR="0005690F">
        <w:rPr>
          <w:noProof/>
        </w:rPr>
        <w:fldChar w:fldCharType="end"/>
      </w:r>
      <w:bookmarkEnd w:id="1"/>
      <w:r w:rsidRPr="00FC622C">
        <w:t xml:space="preserve"> — </w:t>
      </w:r>
      <w:r w:rsidR="008159DC">
        <w:t>Пример искажения корреляционного пика</w:t>
      </w:r>
    </w:p>
    <w:p w:rsidR="00F663F1" w:rsidRPr="00FC622C" w:rsidRDefault="009F55F9" w:rsidP="0097381A">
      <w:r w:rsidRPr="00FC622C">
        <w:tab/>
      </w:r>
    </w:p>
    <w:p w:rsidR="00BC6391" w:rsidRDefault="00BC6391" w:rsidP="00BC6391">
      <w:r>
        <w:t>Дополнительно следует отметить, что изображённые корреляционные пики получены при условии «бесконечн</w:t>
      </w:r>
      <w:r w:rsidR="00BB418B">
        <w:t>ой» полосы исходного сигнала. Н</w:t>
      </w:r>
      <w:r>
        <w:t xml:space="preserve">а практике на вход корреляционной обработки в приёмнике сигнал поступает после прохождения множества фильтров: начиная с фильтров, установленных в навигационных космических аппаратах и заканчивая множеством фильтров в антенне и аналоговых трактах приёмников. </w:t>
      </w:r>
    </w:p>
    <w:p w:rsidR="00F663F1" w:rsidRPr="00FC622C" w:rsidRDefault="005724C4" w:rsidP="00BC6391">
      <w:r w:rsidRPr="00FC622C">
        <w:tab/>
      </w:r>
    </w:p>
    <w:p w:rsidR="00D055E5" w:rsidRPr="00FC622C" w:rsidRDefault="00BC6391" w:rsidP="00D055E5">
      <w:r>
        <w:t xml:space="preserve">В связи с искажением корреляционного пика, возникают ошибки в дискриминаторах петель </w:t>
      </w:r>
      <w:r w:rsidR="00BB418B">
        <w:t>слежения за задержкой (ССЗ)</w:t>
      </w:r>
      <w:r>
        <w:t xml:space="preserve"> и </w:t>
      </w:r>
      <w:r w:rsidR="00BB418B">
        <w:t>фазовой автоподстройки (</w:t>
      </w:r>
      <w:r>
        <w:t>ФАП</w:t>
      </w:r>
      <w:r w:rsidR="00BB418B">
        <w:t>)</w:t>
      </w:r>
      <w:r>
        <w:t>, приводящие к смещению формируемых оценок радионавигационных параметров</w:t>
      </w:r>
      <w:r w:rsidRPr="00BC6391">
        <w:t xml:space="preserve">, </w:t>
      </w:r>
      <w:r>
        <w:t>что</w:t>
      </w:r>
      <w:r w:rsidR="00D055E5">
        <w:t>,</w:t>
      </w:r>
      <w:r>
        <w:t xml:space="preserve"> в свою очередь</w:t>
      </w:r>
      <w:r w:rsidR="00D055E5">
        <w:t xml:space="preserve">, приводит к характерным осцилляциям в координатах, изображённым </w:t>
      </w:r>
      <w:r w:rsidR="00D055E5" w:rsidRPr="00FC622C">
        <w:t>на рисунке</w:t>
      </w:r>
      <w:r w:rsidR="00BB418B">
        <w:t xml:space="preserve"> </w:t>
      </w:r>
      <w:r w:rsidR="00BB418B">
        <w:fldChar w:fldCharType="begin"/>
      </w:r>
      <w:r w:rsidR="00BB418B">
        <w:instrText xml:space="preserve"> REF _Ref50109541 \h </w:instrText>
      </w:r>
      <w:r w:rsidR="00BB418B">
        <w:instrText xml:space="preserve"> \* MERGEFORMAT </w:instrText>
      </w:r>
      <w:r w:rsidR="00BB418B">
        <w:fldChar w:fldCharType="separate"/>
      </w:r>
      <w:r w:rsidR="00BB418B" w:rsidRPr="00BB418B">
        <w:rPr>
          <w:vanish/>
        </w:rPr>
        <w:t xml:space="preserve">Рисунок </w:t>
      </w:r>
      <w:r w:rsidR="00BB418B">
        <w:rPr>
          <w:noProof/>
        </w:rPr>
        <w:t>3</w:t>
      </w:r>
      <w:r w:rsidR="00BB418B">
        <w:fldChar w:fldCharType="end"/>
      </w:r>
      <w:r w:rsidR="00D055E5" w:rsidRPr="00FC622C">
        <w:t>.</w:t>
      </w:r>
    </w:p>
    <w:p w:rsidR="00D055E5" w:rsidRPr="00FC622C" w:rsidRDefault="00D055E5" w:rsidP="00D055E5"/>
    <w:p w:rsidR="00D055E5" w:rsidRPr="00FC622C" w:rsidRDefault="001D6768" w:rsidP="004106B1">
      <w:pPr>
        <w:ind w:firstLine="0"/>
        <w:jc w:val="center"/>
      </w:pPr>
      <w:r w:rsidRPr="001D6768">
        <w:rPr>
          <w:noProof/>
          <w:lang w:eastAsia="ru-RU"/>
        </w:rPr>
        <w:lastRenderedPageBreak/>
        <w:drawing>
          <wp:inline distT="0" distB="0" distL="0" distR="0">
            <wp:extent cx="5337810" cy="3997960"/>
            <wp:effectExtent l="0" t="0" r="0" b="2540"/>
            <wp:docPr id="1" name="Рисунок 1" descr="C:\Git\navigator_2\doc\Конференции и доклады\микроэлектроника2020\images\Явные осцилля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it\navigator_2\doc\Конференции и доклады\микроэлектроника2020\images\Явные осцилляции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5E5" w:rsidRPr="00FC622C" w:rsidRDefault="00D055E5" w:rsidP="00D055E5">
      <w:pPr>
        <w:ind w:firstLine="0"/>
        <w:jc w:val="center"/>
      </w:pPr>
      <w:bookmarkStart w:id="2" w:name="_Ref50109541"/>
      <w:r w:rsidRPr="00FC622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2"/>
      <w:r w:rsidRPr="00FC622C">
        <w:t xml:space="preserve"> — </w:t>
      </w:r>
      <w:r w:rsidR="00212A36">
        <w:t>Осцилляции, вызванные эффектом многолучёвости</w:t>
      </w:r>
    </w:p>
    <w:p w:rsidR="00DC2FC9" w:rsidRPr="00D055E5" w:rsidRDefault="00DC2FC9" w:rsidP="00212A36">
      <w:pPr>
        <w:jc w:val="center"/>
      </w:pPr>
    </w:p>
    <w:p w:rsidR="001028A1" w:rsidRPr="00FC622C" w:rsidRDefault="001028A1" w:rsidP="0097381A"/>
    <w:p w:rsidR="007C2A7A" w:rsidRDefault="007C2A7A" w:rsidP="007C2A7A">
      <w:r>
        <w:t>Целью предлагаемого метода является обеспечение эффективности уменьшения ошибки многолучевого распространения сигнала, сравнимого с ведущими наработками в этой области, при сохранении разумной вычислительной сложности и возможности использования наиболее распространённых аппаратно-программных платформ.</w:t>
      </w:r>
    </w:p>
    <w:p w:rsidR="008860F9" w:rsidRDefault="008860F9" w:rsidP="007C2A7A"/>
    <w:p w:rsidR="008860F9" w:rsidRDefault="008860F9" w:rsidP="008860F9">
      <w:pPr>
        <w:pStyle w:val="1"/>
        <w:spacing w:before="0"/>
      </w:pPr>
      <w:r>
        <w:t>Метод уменьшения влияния многолучевого распространения сигнала с применением нейронных сетей</w:t>
      </w:r>
    </w:p>
    <w:p w:rsidR="007C2A7A" w:rsidRDefault="007C2A7A" w:rsidP="007C2A7A"/>
    <w:p w:rsidR="008860F9" w:rsidRPr="008860F9" w:rsidRDefault="008860F9" w:rsidP="007C2A7A">
      <w:r>
        <w:t xml:space="preserve">Существующие на сегодняшний день передовые методы борьбы с </w:t>
      </w:r>
      <w:proofErr w:type="spellStart"/>
      <w:r>
        <w:t>многолучёвостью</w:t>
      </w:r>
      <w:proofErr w:type="spellEnd"/>
      <w:r>
        <w:t xml:space="preserve"> основаны на методе максимального правдоподобия и заключаются в разложении полученного корреляционного пика на составляющие прямого и </w:t>
      </w:r>
      <w:proofErr w:type="spellStart"/>
      <w:r>
        <w:t>переотражённых</w:t>
      </w:r>
      <w:proofErr w:type="spellEnd"/>
      <w:r>
        <w:t xml:space="preserve"> сигналов. Для решения этой задачи требуется значительное количество отводов по задержке в каждом спутниковом канале для корректной оценки корреляционного пика, либо применение множества каналов с разными настройками по длительности отводов. Это приводит к большим вычислительным затратам и необходимости реализации специализированной аппаратуры, что не позволяет рассматривать большинство передовых методов для применения в навигационной аппаратуре потребителей.</w:t>
      </w:r>
    </w:p>
    <w:p w:rsidR="008860F9" w:rsidRDefault="008860F9" w:rsidP="007C2A7A"/>
    <w:p w:rsidR="007C2A7A" w:rsidRPr="005919EA" w:rsidRDefault="007C2A7A" w:rsidP="007C2A7A">
      <w:r>
        <w:t xml:space="preserve">Предлагаемый алгоритм компенсации работает с комплексными корреляционными сигналами, соответствующими пяти отводам по задержке. В качестве целевой аппаратно-программной платформы выбрана СБИС К1888ВС018 </w:t>
      </w:r>
      <w:r w:rsidRPr="0086118B">
        <w:t xml:space="preserve">[4] </w:t>
      </w:r>
      <w:r>
        <w:t>и трёхчастотных встраиваемый модуль ГНСС МС149.01</w:t>
      </w:r>
      <w:r w:rsidRPr="00485683">
        <w:t xml:space="preserve"> [</w:t>
      </w:r>
      <w:r w:rsidRPr="0086118B">
        <w:t>5</w:t>
      </w:r>
      <w:r w:rsidRPr="00485683">
        <w:t>]</w:t>
      </w:r>
      <w:r>
        <w:t xml:space="preserve">, разработанные в ЗАО НТЦ «Модуль». С применением нейронной сети осуществляется оценка параметров множества отражённых сигналов с последующим формированием их реплик и компенсацией во входном сигнале. Схема алгоритма приведена на рисунке </w:t>
      </w:r>
      <w:r>
        <w:fldChar w:fldCharType="begin"/>
      </w:r>
      <w:r>
        <w:instrText xml:space="preserve"> REF _Ref48254719 \h  \* MERGEFORMAT </w:instrText>
      </w:r>
      <w:r>
        <w:fldChar w:fldCharType="separate"/>
      </w:r>
      <w:r w:rsidRPr="007C2A7A">
        <w:rPr>
          <w:vanish/>
        </w:rPr>
        <w:t xml:space="preserve">Рисунок </w:t>
      </w:r>
      <w:r>
        <w:rPr>
          <w:noProof/>
        </w:rPr>
        <w:t>4</w:t>
      </w:r>
      <w:r>
        <w:fldChar w:fldCharType="end"/>
      </w:r>
      <w:r>
        <w:t>.</w:t>
      </w:r>
      <w:r w:rsidR="005919EA">
        <w:t xml:space="preserve"> В процессе работы алгоритма осуществляется предварительная обработка корреляционных отсчётов в виде коррекции фазы и нормализации по уровню, после чего корреляционные суммы поступают на вход нейронной сети для оценки параметров двух отражённых сигналов: относительной амплитуды, фазы и задержки. По полученным данным осуществляется компенсация корреляционных пиков отражённых сигналов с последующей передачей управления в традиционные петли слежения. </w:t>
      </w:r>
    </w:p>
    <w:p w:rsidR="008860F9" w:rsidRDefault="008860F9" w:rsidP="007C2A7A"/>
    <w:p w:rsidR="008860F9" w:rsidRDefault="008860F9" w:rsidP="007C2A7A"/>
    <w:p w:rsidR="007C2A7A" w:rsidRDefault="007C2A7A" w:rsidP="007C2A7A">
      <w:pPr>
        <w:ind w:firstLine="0"/>
      </w:pPr>
    </w:p>
    <w:p w:rsidR="007C2A7A" w:rsidRPr="00FC622C" w:rsidRDefault="007C2A7A" w:rsidP="007C2A7A">
      <w:pPr>
        <w:ind w:firstLine="0"/>
        <w:jc w:val="center"/>
      </w:pPr>
      <w:r>
        <w:object w:dxaOrig="16321" w:dyaOrig="11175">
          <v:shape id="_x0000_i1026" type="#_x0000_t75" style="width:512.25pt;height:351pt" o:ole="">
            <v:imagedata r:id="rId12" o:title=""/>
          </v:shape>
          <o:OLEObject Type="Embed" ProgID="Visio.Drawing.15" ShapeID="_x0000_i1026" DrawAspect="Content" ObjectID="_1660722333" r:id="rId13"/>
        </w:object>
      </w:r>
      <w:r w:rsidRPr="00D47A53">
        <w:t xml:space="preserve"> </w:t>
      </w:r>
    </w:p>
    <w:p w:rsidR="007C2A7A" w:rsidRPr="00FC622C" w:rsidRDefault="007C2A7A" w:rsidP="007C2A7A">
      <w:pPr>
        <w:ind w:firstLine="0"/>
        <w:jc w:val="center"/>
      </w:pPr>
      <w:bookmarkStart w:id="3" w:name="_Ref48254719"/>
      <w:r w:rsidRPr="00FC622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bookmarkEnd w:id="3"/>
      <w:r w:rsidRPr="00FC622C">
        <w:t xml:space="preserve"> — </w:t>
      </w:r>
      <w:r>
        <w:t>Схема алгоритма</w:t>
      </w:r>
    </w:p>
    <w:p w:rsidR="007C2A7A" w:rsidRPr="00D47A53" w:rsidRDefault="007C2A7A" w:rsidP="007C2A7A">
      <w:pPr>
        <w:tabs>
          <w:tab w:val="left" w:pos="6580"/>
        </w:tabs>
        <w:ind w:firstLine="0"/>
      </w:pPr>
      <w:r>
        <w:tab/>
      </w:r>
    </w:p>
    <w:p w:rsidR="005919EA" w:rsidRPr="00BE57FE" w:rsidRDefault="005919EA" w:rsidP="007C2A7A">
      <w:r>
        <w:t>Для проведённого моделирования с «бесконечной» полосой сигнала достаточным оказалось применение пер</w:t>
      </w:r>
      <w:r w:rsidR="00BB418B">
        <w:t>с</w:t>
      </w:r>
      <w:r>
        <w:t>ептрона</w:t>
      </w:r>
      <w:r w:rsidRPr="005919EA">
        <w:t xml:space="preserve"> с одним </w:t>
      </w:r>
      <w:r>
        <w:t xml:space="preserve">скрытым слоем. В настоящее время осуществляются </w:t>
      </w:r>
      <w:r w:rsidR="00212F48">
        <w:t>исследования выбора необходимой топологии и глубины н</w:t>
      </w:r>
      <w:bookmarkStart w:id="4" w:name="_GoBack"/>
      <w:bookmarkEnd w:id="4"/>
      <w:r w:rsidR="00212F48">
        <w:t>ейронной сети при работе с сигналами</w:t>
      </w:r>
      <w:r w:rsidR="00A365E9">
        <w:t>, имеющими ограниченную полосу и значительно искажёнными аналоговыми трактами навигационных приёмников, которые включают в себя множество фильтров и каскадов усиления.</w:t>
      </w:r>
    </w:p>
    <w:p w:rsidR="005919EA" w:rsidRDefault="005919EA" w:rsidP="007C2A7A"/>
    <w:p w:rsidR="007C2A7A" w:rsidRPr="00A365E9" w:rsidRDefault="007C2A7A" w:rsidP="007C2A7A">
      <w:r>
        <w:t xml:space="preserve">Огибающая ошибки многолучёвости, как результат работы алгоритма приведена на рисунке </w:t>
      </w:r>
      <w:r>
        <w:fldChar w:fldCharType="begin"/>
      </w:r>
      <w:r>
        <w:instrText xml:space="preserve"> REF _Ref48255847 \h  \* MERGEFORMAT </w:instrText>
      </w:r>
      <w:r>
        <w:fldChar w:fldCharType="separate"/>
      </w:r>
      <w:r w:rsidRPr="007C2A7A">
        <w:rPr>
          <w:vanish/>
        </w:rPr>
        <w:t xml:space="preserve">Рисунок </w:t>
      </w:r>
      <w:r>
        <w:rPr>
          <w:noProof/>
        </w:rPr>
        <w:t>5</w:t>
      </w:r>
      <w:r>
        <w:fldChar w:fldCharType="end"/>
      </w:r>
      <w:r>
        <w:t>.</w:t>
      </w:r>
      <w:r w:rsidRPr="009641B3">
        <w:t xml:space="preserve"> </w:t>
      </w:r>
      <w:r>
        <w:t xml:space="preserve">Огибающая получена при моделировании идеальных условий с бесконечной полосой сигнала, не приводящей к искажениям корреляционного пика, при наличии одного зеркально отражённого сигнала. При этих условиях максимальная ошибка многолучёвости составляет </w:t>
      </w:r>
      <w:r w:rsidRPr="009641B3">
        <w:t xml:space="preserve">1.137 </w:t>
      </w:r>
      <w:r>
        <w:t>метра против более чем 75 для традиционного трёхточечного дискриминатора.</w:t>
      </w:r>
      <w:r w:rsidR="00A365E9">
        <w:t xml:space="preserve"> Следует отметить, что после компенсации многолучевых компонент в корреляционном пике, корреляционные суммы поступают в традиционные петли слежения за сигналом. В частности, в качестве дискриминатора схемы слежения за задержкой применяется хорошо известный дискриминатор с малым расстоянием между отводами, что позволяет добиться низкой шумовой ошибки при реализации слежения.</w:t>
      </w:r>
    </w:p>
    <w:p w:rsidR="007C2A7A" w:rsidRPr="009641B3" w:rsidRDefault="007C2A7A" w:rsidP="007C2A7A"/>
    <w:p w:rsidR="007C2A7A" w:rsidRDefault="007C2A7A" w:rsidP="007C2A7A">
      <w:pPr>
        <w:ind w:firstLine="0"/>
      </w:pPr>
    </w:p>
    <w:p w:rsidR="007C2A7A" w:rsidRDefault="007C2A7A" w:rsidP="007C2A7A">
      <w:pPr>
        <w:ind w:firstLine="0"/>
      </w:pPr>
    </w:p>
    <w:p w:rsidR="007C2A7A" w:rsidRPr="00FC622C" w:rsidRDefault="007C2A7A" w:rsidP="007C2A7A">
      <w:pPr>
        <w:ind w:firstLine="0"/>
        <w:jc w:val="center"/>
      </w:pPr>
      <w:r w:rsidRPr="009641B3">
        <w:rPr>
          <w:noProof/>
          <w:lang w:eastAsia="ru-RU"/>
        </w:rPr>
        <w:lastRenderedPageBreak/>
        <w:drawing>
          <wp:inline distT="0" distB="0" distL="0" distR="0" wp14:anchorId="31DE75DA" wp14:editId="3E5C0297">
            <wp:extent cx="5316220" cy="3997960"/>
            <wp:effectExtent l="0" t="0" r="0" b="2540"/>
            <wp:docPr id="2" name="Рисунок 2" descr="D:\микроэлектроника2020\images\med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икроэлектроника2020\images\medl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1B3">
        <w:t xml:space="preserve"> </w:t>
      </w:r>
    </w:p>
    <w:p w:rsidR="007C2A7A" w:rsidRPr="00FC622C" w:rsidRDefault="007C2A7A" w:rsidP="007C2A7A">
      <w:pPr>
        <w:ind w:firstLine="0"/>
        <w:jc w:val="center"/>
      </w:pPr>
      <w:bookmarkStart w:id="5" w:name="_Ref48255847"/>
      <w:r w:rsidRPr="00FC622C"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5"/>
      <w:r w:rsidRPr="00FC622C">
        <w:t xml:space="preserve"> — </w:t>
      </w:r>
      <w:r>
        <w:t>Огибающая ошибки многолучёвости</w:t>
      </w:r>
    </w:p>
    <w:p w:rsidR="007C2A7A" w:rsidRDefault="007C2A7A" w:rsidP="007C2A7A">
      <w:pPr>
        <w:ind w:firstLine="0"/>
        <w:jc w:val="center"/>
      </w:pPr>
    </w:p>
    <w:p w:rsidR="00BE57FE" w:rsidRPr="00BD3344" w:rsidRDefault="00BD3344" w:rsidP="00BE57FE">
      <w:pPr>
        <w:ind w:firstLine="720"/>
        <w:rPr>
          <w:b/>
        </w:rPr>
      </w:pPr>
      <w:r>
        <w:rPr>
          <w:b/>
        </w:rPr>
        <w:t>Заключение</w:t>
      </w:r>
    </w:p>
    <w:p w:rsidR="00BE57FE" w:rsidRDefault="00BE57FE" w:rsidP="00BE57FE"/>
    <w:p w:rsidR="00BE57FE" w:rsidRPr="00BE57FE" w:rsidRDefault="00BD3344" w:rsidP="00BE57FE">
      <w:r>
        <w:t>В статье рассмотрен метод уменьшения влияния ошибки многолучевого распространения сигнала, построенный с применением нейронных сетей и традиционного дискриминатора петли слежения за задержкой кодовой последовательности. Произведено моделирование при условии «бесконечной» полосы входного сигнала, получена огибающая ошибки многолучёвости как потенциальная характеристика точности разрабатываемого алгоритма.</w:t>
      </w:r>
    </w:p>
    <w:p w:rsidR="00BE57FE" w:rsidRDefault="00BE57FE" w:rsidP="007C2A7A">
      <w:pPr>
        <w:ind w:firstLine="0"/>
        <w:jc w:val="center"/>
      </w:pPr>
    </w:p>
    <w:p w:rsidR="007C2A7A" w:rsidRDefault="007C2A7A" w:rsidP="007C2A7A">
      <w:pPr>
        <w:ind w:firstLine="720"/>
        <w:rPr>
          <w:b/>
        </w:rPr>
      </w:pPr>
      <w:r>
        <w:rPr>
          <w:b/>
        </w:rPr>
        <w:t>Список литературы</w:t>
      </w:r>
    </w:p>
    <w:p w:rsidR="007C2A7A" w:rsidRDefault="007C2A7A" w:rsidP="007C2A7A">
      <w:pPr>
        <w:ind w:firstLine="720"/>
        <w:rPr>
          <w:b/>
        </w:rPr>
      </w:pPr>
    </w:p>
    <w:p w:rsidR="007C2A7A" w:rsidRDefault="007C2A7A" w:rsidP="007C2A7A">
      <w:pPr>
        <w:pStyle w:val="a7"/>
        <w:numPr>
          <w:ilvl w:val="0"/>
          <w:numId w:val="5"/>
        </w:numPr>
        <w:ind w:left="1080"/>
        <w:rPr>
          <w:lang w:val="en-US"/>
        </w:rPr>
      </w:pPr>
      <w:r w:rsidRPr="00485683">
        <w:rPr>
          <w:lang w:val="en-US"/>
        </w:rPr>
        <w:t xml:space="preserve">L. </w:t>
      </w:r>
      <w:proofErr w:type="spellStart"/>
      <w:r w:rsidRPr="00485683">
        <w:rPr>
          <w:lang w:val="en-US"/>
        </w:rPr>
        <w:t>Garin</w:t>
      </w:r>
      <w:proofErr w:type="spellEnd"/>
      <w:r w:rsidRPr="00485683">
        <w:rPr>
          <w:lang w:val="en-US"/>
        </w:rPr>
        <w:t xml:space="preserve">, F. van </w:t>
      </w:r>
      <w:proofErr w:type="spellStart"/>
      <w:r w:rsidRPr="00485683">
        <w:rPr>
          <w:lang w:val="en-US"/>
        </w:rPr>
        <w:t>Diggelen</w:t>
      </w:r>
      <w:proofErr w:type="spellEnd"/>
      <w:r w:rsidRPr="00485683">
        <w:rPr>
          <w:lang w:val="en-US"/>
        </w:rPr>
        <w:t>, J. Rousseau: Strobe and edge correlator multipath mitigation for code, Proc. ION GPS 1996, Kansas City (ION, Virginia 1996)</w:t>
      </w:r>
      <w:r>
        <w:rPr>
          <w:lang w:val="en-US"/>
        </w:rPr>
        <w:t xml:space="preserve"> </w:t>
      </w:r>
      <w:r w:rsidRPr="00485683">
        <w:rPr>
          <w:lang w:val="en-US"/>
        </w:rPr>
        <w:t>pp. 657–664</w:t>
      </w:r>
    </w:p>
    <w:p w:rsidR="007C2A7A" w:rsidRDefault="007C2A7A" w:rsidP="007C2A7A">
      <w:pPr>
        <w:pStyle w:val="a7"/>
        <w:numPr>
          <w:ilvl w:val="0"/>
          <w:numId w:val="5"/>
        </w:numPr>
        <w:ind w:left="1080"/>
        <w:rPr>
          <w:lang w:val="en-US"/>
        </w:rPr>
      </w:pPr>
      <w:r w:rsidRPr="00485683">
        <w:rPr>
          <w:lang w:val="en-US"/>
        </w:rPr>
        <w:t xml:space="preserve">G. McGraw, M. </w:t>
      </w:r>
      <w:proofErr w:type="spellStart"/>
      <w:r w:rsidRPr="00485683">
        <w:rPr>
          <w:lang w:val="en-US"/>
        </w:rPr>
        <w:t>Braasch</w:t>
      </w:r>
      <w:proofErr w:type="spellEnd"/>
      <w:r w:rsidRPr="00485683">
        <w:rPr>
          <w:lang w:val="en-US"/>
        </w:rPr>
        <w:t>: GNSS multipath mitigation using gated and high resolution correlator concepts, Proc. ION NTM 1999, Santa Diego (ION, Virginia</w:t>
      </w:r>
      <w:r>
        <w:rPr>
          <w:lang w:val="en-US"/>
        </w:rPr>
        <w:t xml:space="preserve"> </w:t>
      </w:r>
      <w:r w:rsidRPr="00485683">
        <w:rPr>
          <w:lang w:val="en-US"/>
        </w:rPr>
        <w:t>1999) pp. 333–342</w:t>
      </w:r>
    </w:p>
    <w:p w:rsidR="007C2A7A" w:rsidRDefault="007C2A7A" w:rsidP="007C2A7A">
      <w:pPr>
        <w:pStyle w:val="a7"/>
        <w:numPr>
          <w:ilvl w:val="0"/>
          <w:numId w:val="5"/>
        </w:numPr>
        <w:ind w:left="1080"/>
        <w:rPr>
          <w:lang w:val="en-US"/>
        </w:rPr>
      </w:pPr>
      <w:r>
        <w:rPr>
          <w:lang w:val="en-US"/>
        </w:rPr>
        <w:t xml:space="preserve">M. </w:t>
      </w:r>
      <w:proofErr w:type="spellStart"/>
      <w:r w:rsidRPr="0086118B">
        <w:rPr>
          <w:lang w:val="en-US"/>
        </w:rPr>
        <w:t>Zhodzishsky</w:t>
      </w:r>
      <w:proofErr w:type="spellEnd"/>
      <w:r w:rsidRPr="0086118B">
        <w:rPr>
          <w:lang w:val="en-US"/>
        </w:rPr>
        <w:t xml:space="preserve">, V. </w:t>
      </w:r>
      <w:proofErr w:type="spellStart"/>
      <w:r w:rsidRPr="0086118B">
        <w:rPr>
          <w:lang w:val="en-US"/>
        </w:rPr>
        <w:t>Veitsel</w:t>
      </w:r>
      <w:proofErr w:type="spellEnd"/>
      <w:r w:rsidRPr="0086118B">
        <w:rPr>
          <w:lang w:val="en-US"/>
        </w:rPr>
        <w:t xml:space="preserve">, J. </w:t>
      </w:r>
      <w:proofErr w:type="spellStart"/>
      <w:r w:rsidRPr="0086118B">
        <w:rPr>
          <w:lang w:val="en-US"/>
        </w:rPr>
        <w:t>Ashjaee</w:t>
      </w:r>
      <w:proofErr w:type="spellEnd"/>
      <w:r w:rsidRPr="0086118B">
        <w:rPr>
          <w:lang w:val="en-US"/>
        </w:rPr>
        <w:t>: Methods and apparatuses for reducing multipath errors in the demodulation of pseudo-random coded signals, MUS Patent US6493378 2002-12-10</w:t>
      </w:r>
    </w:p>
    <w:p w:rsidR="007C2A7A" w:rsidRPr="0086118B" w:rsidRDefault="007C2A7A" w:rsidP="007C2A7A">
      <w:pPr>
        <w:pStyle w:val="a7"/>
        <w:numPr>
          <w:ilvl w:val="0"/>
          <w:numId w:val="5"/>
        </w:numPr>
        <w:ind w:left="1080"/>
      </w:pPr>
      <w:r w:rsidRPr="0086118B">
        <w:t>С. В. Ландышев, М. Ю. Клименко, Принципы построения многочастотного приёмника ГНСС на базе СБИС К1888ВС018 // НАНОИНДУСТРИЯ, №</w:t>
      </w:r>
      <w:r>
        <w:rPr>
          <w:lang w:val="en-US"/>
        </w:rPr>
        <w:t>S</w:t>
      </w:r>
      <w:r w:rsidRPr="0086118B">
        <w:t xml:space="preserve"> (82) 64-68</w:t>
      </w:r>
    </w:p>
    <w:p w:rsidR="007C2A7A" w:rsidRPr="0086118B" w:rsidRDefault="007C2A7A" w:rsidP="007C2A7A">
      <w:pPr>
        <w:pStyle w:val="a7"/>
        <w:numPr>
          <w:ilvl w:val="0"/>
          <w:numId w:val="5"/>
        </w:numPr>
        <w:ind w:left="1080"/>
      </w:pPr>
      <w:r w:rsidRPr="0086118B">
        <w:t>М. Ю. Клименко, Встраиваемый модуль высокоточного спутникового трехчастотного навигационного приёмника МС149.01 // НАНОИНДУСТРИЯ, №</w:t>
      </w:r>
      <w:r w:rsidRPr="0086118B">
        <w:rPr>
          <w:lang w:val="en-US"/>
        </w:rPr>
        <w:t>S</w:t>
      </w:r>
      <w:r w:rsidRPr="0086118B">
        <w:t>89 29-31</w:t>
      </w:r>
    </w:p>
    <w:p w:rsidR="008362A5" w:rsidRPr="007C2A7A" w:rsidRDefault="008362A5" w:rsidP="007C2A7A">
      <w:pPr>
        <w:pStyle w:val="1"/>
        <w:spacing w:before="0"/>
      </w:pPr>
    </w:p>
    <w:sectPr w:rsidR="008362A5" w:rsidRPr="007C2A7A" w:rsidSect="00C958AE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027"/>
    <w:multiLevelType w:val="hybridMultilevel"/>
    <w:tmpl w:val="580E6B08"/>
    <w:lvl w:ilvl="0" w:tplc="62083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05C33"/>
    <w:multiLevelType w:val="hybridMultilevel"/>
    <w:tmpl w:val="7E8E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26BB"/>
    <w:multiLevelType w:val="hybridMultilevel"/>
    <w:tmpl w:val="D130BF82"/>
    <w:lvl w:ilvl="0" w:tplc="3E94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3F1BD3"/>
    <w:multiLevelType w:val="hybridMultilevel"/>
    <w:tmpl w:val="F7A8A9D0"/>
    <w:lvl w:ilvl="0" w:tplc="8732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31888"/>
    <w:multiLevelType w:val="hybridMultilevel"/>
    <w:tmpl w:val="7A50B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43"/>
    <w:rsid w:val="000544A0"/>
    <w:rsid w:val="00055722"/>
    <w:rsid w:val="0005690F"/>
    <w:rsid w:val="00075534"/>
    <w:rsid w:val="000B136B"/>
    <w:rsid w:val="000E3349"/>
    <w:rsid w:val="001028A1"/>
    <w:rsid w:val="00117327"/>
    <w:rsid w:val="00125598"/>
    <w:rsid w:val="00133465"/>
    <w:rsid w:val="00160A05"/>
    <w:rsid w:val="00161CB8"/>
    <w:rsid w:val="001622D5"/>
    <w:rsid w:val="001D61AB"/>
    <w:rsid w:val="001D6768"/>
    <w:rsid w:val="001F3455"/>
    <w:rsid w:val="00207F9A"/>
    <w:rsid w:val="00212A36"/>
    <w:rsid w:val="00212F48"/>
    <w:rsid w:val="002417BC"/>
    <w:rsid w:val="00241B79"/>
    <w:rsid w:val="002636E3"/>
    <w:rsid w:val="00264CD8"/>
    <w:rsid w:val="002849D7"/>
    <w:rsid w:val="00371025"/>
    <w:rsid w:val="004106B1"/>
    <w:rsid w:val="00431B1A"/>
    <w:rsid w:val="0043667A"/>
    <w:rsid w:val="004635D8"/>
    <w:rsid w:val="004A5A2B"/>
    <w:rsid w:val="004B319A"/>
    <w:rsid w:val="004C7066"/>
    <w:rsid w:val="004E1364"/>
    <w:rsid w:val="004E2AF1"/>
    <w:rsid w:val="00523E98"/>
    <w:rsid w:val="00546E2E"/>
    <w:rsid w:val="005724C4"/>
    <w:rsid w:val="005919EA"/>
    <w:rsid w:val="005A4D7F"/>
    <w:rsid w:val="005C0854"/>
    <w:rsid w:val="005C50B0"/>
    <w:rsid w:val="005F1143"/>
    <w:rsid w:val="006129A7"/>
    <w:rsid w:val="00640433"/>
    <w:rsid w:val="00652D67"/>
    <w:rsid w:val="0066049A"/>
    <w:rsid w:val="006715DD"/>
    <w:rsid w:val="00676F87"/>
    <w:rsid w:val="006F2C7F"/>
    <w:rsid w:val="00727EC0"/>
    <w:rsid w:val="007724CE"/>
    <w:rsid w:val="00786EBD"/>
    <w:rsid w:val="007920A1"/>
    <w:rsid w:val="00797FD8"/>
    <w:rsid w:val="007A3EAD"/>
    <w:rsid w:val="007C2A7A"/>
    <w:rsid w:val="007F2BB8"/>
    <w:rsid w:val="00805E04"/>
    <w:rsid w:val="008159DC"/>
    <w:rsid w:val="00821259"/>
    <w:rsid w:val="00827D0A"/>
    <w:rsid w:val="008308C1"/>
    <w:rsid w:val="008362A5"/>
    <w:rsid w:val="0084562B"/>
    <w:rsid w:val="00873FBF"/>
    <w:rsid w:val="0087664B"/>
    <w:rsid w:val="00880DA7"/>
    <w:rsid w:val="008860F9"/>
    <w:rsid w:val="00932F8B"/>
    <w:rsid w:val="00957DA8"/>
    <w:rsid w:val="0097381A"/>
    <w:rsid w:val="009A41F7"/>
    <w:rsid w:val="009A7E4C"/>
    <w:rsid w:val="009F55F9"/>
    <w:rsid w:val="00A365E9"/>
    <w:rsid w:val="00A91A10"/>
    <w:rsid w:val="00AA420B"/>
    <w:rsid w:val="00AE11D3"/>
    <w:rsid w:val="00AF7417"/>
    <w:rsid w:val="00B05280"/>
    <w:rsid w:val="00B25FDF"/>
    <w:rsid w:val="00B75AC0"/>
    <w:rsid w:val="00BB418B"/>
    <w:rsid w:val="00BC6391"/>
    <w:rsid w:val="00BD3344"/>
    <w:rsid w:val="00BD744C"/>
    <w:rsid w:val="00BE57FE"/>
    <w:rsid w:val="00BF45F9"/>
    <w:rsid w:val="00C6196F"/>
    <w:rsid w:val="00C7111E"/>
    <w:rsid w:val="00C90F50"/>
    <w:rsid w:val="00C958AE"/>
    <w:rsid w:val="00CB31EB"/>
    <w:rsid w:val="00CE6BE6"/>
    <w:rsid w:val="00D055E5"/>
    <w:rsid w:val="00D20659"/>
    <w:rsid w:val="00D4252D"/>
    <w:rsid w:val="00D762B5"/>
    <w:rsid w:val="00DC2FC9"/>
    <w:rsid w:val="00E41802"/>
    <w:rsid w:val="00E437C9"/>
    <w:rsid w:val="00E5117D"/>
    <w:rsid w:val="00E833A4"/>
    <w:rsid w:val="00E86D4C"/>
    <w:rsid w:val="00EA4204"/>
    <w:rsid w:val="00EC7F37"/>
    <w:rsid w:val="00EE74FE"/>
    <w:rsid w:val="00F15511"/>
    <w:rsid w:val="00F54BBF"/>
    <w:rsid w:val="00F55CF7"/>
    <w:rsid w:val="00F55FED"/>
    <w:rsid w:val="00F663F1"/>
    <w:rsid w:val="00F764E5"/>
    <w:rsid w:val="00F8197E"/>
    <w:rsid w:val="00FA6ABE"/>
    <w:rsid w:val="00FB10A2"/>
    <w:rsid w:val="00FC62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FC24"/>
  <w15:chartTrackingRefBased/>
  <w15:docId w15:val="{82EDE478-D1C9-416A-A565-246E921B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F1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F2BB8"/>
    <w:pPr>
      <w:keepNext/>
      <w:keepLines/>
      <w:spacing w:before="240"/>
      <w:outlineLvl w:val="0"/>
    </w:pPr>
    <w:rPr>
      <w:rFonts w:eastAsiaTheme="majorEastAsia"/>
      <w:b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BB8"/>
    <w:rPr>
      <w:rFonts w:ascii="Times New Roman" w:eastAsiaTheme="majorEastAsia" w:hAnsi="Times New Roman" w:cs="Times New Roman"/>
      <w:b/>
      <w:color w:val="000000" w:themeColor="text1"/>
      <w:sz w:val="28"/>
      <w:szCs w:val="28"/>
      <w:lang w:val="ru-RU"/>
    </w:rPr>
  </w:style>
  <w:style w:type="paragraph" w:styleId="a3">
    <w:name w:val="caption"/>
    <w:basedOn w:val="a"/>
    <w:next w:val="a"/>
    <w:autoRedefine/>
    <w:uiPriority w:val="35"/>
    <w:unhideWhenUsed/>
    <w:qFormat/>
    <w:rsid w:val="005A4D7F"/>
    <w:pPr>
      <w:spacing w:after="200"/>
      <w:jc w:val="center"/>
    </w:pPr>
    <w:rPr>
      <w:iCs/>
      <w:szCs w:val="18"/>
    </w:rPr>
  </w:style>
  <w:style w:type="character" w:styleId="a4">
    <w:name w:val="Hyperlink"/>
    <w:basedOn w:val="a0"/>
    <w:uiPriority w:val="99"/>
    <w:unhideWhenUsed/>
    <w:rsid w:val="00F54BBF"/>
    <w:rPr>
      <w:color w:val="0000FF"/>
      <w:u w:val="single"/>
    </w:rPr>
  </w:style>
  <w:style w:type="table" w:styleId="a5">
    <w:name w:val="Table Grid"/>
    <w:basedOn w:val="a1"/>
    <w:uiPriority w:val="39"/>
    <w:rsid w:val="00D206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2065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62A5"/>
    <w:pPr>
      <w:ind w:left="720"/>
      <w:contextualSpacing/>
    </w:pPr>
  </w:style>
  <w:style w:type="character" w:customStyle="1" w:styleId="author">
    <w:name w:val="author"/>
    <w:basedOn w:val="a0"/>
    <w:rsid w:val="006129A7"/>
  </w:style>
  <w:style w:type="character" w:customStyle="1" w:styleId="a-color-secondary">
    <w:name w:val="a-color-secondary"/>
    <w:basedOn w:val="a0"/>
    <w:rsid w:val="006129A7"/>
  </w:style>
  <w:style w:type="paragraph" w:styleId="a8">
    <w:name w:val="Balloon Text"/>
    <w:basedOn w:val="a"/>
    <w:link w:val="a9"/>
    <w:uiPriority w:val="99"/>
    <w:semiHidden/>
    <w:unhideWhenUsed/>
    <w:rsid w:val="00431B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1B1A"/>
    <w:rPr>
      <w:rFonts w:ascii="Segoe UI" w:hAnsi="Segoe UI" w:cs="Segoe UI"/>
      <w:sz w:val="18"/>
      <w:szCs w:val="18"/>
      <w:lang w:val="ru-RU"/>
    </w:rPr>
  </w:style>
  <w:style w:type="character" w:styleId="aa">
    <w:name w:val="Placeholder Text"/>
    <w:basedOn w:val="a0"/>
    <w:uiPriority w:val="99"/>
    <w:semiHidden/>
    <w:rsid w:val="00241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Visio1.vsdx"/><Relationship Id="rId3" Type="http://schemas.openxmlformats.org/officeDocument/2006/relationships/styles" Target="styles.xml"/><Relationship Id="rId7" Type="http://schemas.openxmlformats.org/officeDocument/2006/relationships/hyperlink" Target="mailto:m.klimenko@module.ru" TargetMode="Externa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.klimenko@module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7024-8397-43BC-BB0B-9636BC47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MKlimenko</dc:creator>
  <cp:keywords/>
  <dc:description/>
  <cp:lastModifiedBy>m.klimenko</cp:lastModifiedBy>
  <cp:revision>93</cp:revision>
  <cp:lastPrinted>2018-08-04T15:32:00Z</cp:lastPrinted>
  <dcterms:created xsi:type="dcterms:W3CDTF">2018-08-04T10:55:00Z</dcterms:created>
  <dcterms:modified xsi:type="dcterms:W3CDTF">2020-09-04T07:59:00Z</dcterms:modified>
</cp:coreProperties>
</file>